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11BC8">
      <w:pPr>
        <w:pStyle w:val="13"/>
        <w:rPr>
          <w:rFonts w:hint="eastAsia" w:eastAsia="黑体"/>
          <w:lang w:val="en-US" w:eastAsia="zh-CN"/>
        </w:rPr>
      </w:pPr>
      <w:r>
        <w:t>工程建设部项目管理</w:t>
      </w:r>
      <w:r>
        <w:rPr>
          <w:rFonts w:hint="eastAsia"/>
          <w:lang w:val="en-US" w:eastAsia="zh-CN"/>
        </w:rPr>
        <w:t>要求</w:t>
      </w:r>
    </w:p>
    <w:p w14:paraId="47AC53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625EF19E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人员配置：中标施工单位现场须配备专职项目负责人，不得仅设带班员。</w:t>
      </w:r>
    </w:p>
    <w:p w14:paraId="413434F6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资料提报：中标施工单位申报工程量时，须同步提交对应的竣工图纸、实施部位等资料，确保数据准确，并符合公司发文规定。</w:t>
      </w:r>
    </w:p>
    <w:p w14:paraId="207A386E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变更管理：施工过程中若出现现场与图纸不符并产生变更，中标施工单位须及时提供变更图纸。</w:t>
      </w:r>
    </w:p>
    <w:p w14:paraId="11EBC46C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现场服从：施工班组须服从甲方现场人员的指挥。如拒不配合，甲</w:t>
      </w:r>
      <w:bookmarkStart w:id="0" w:name="_GoBack"/>
      <w:bookmarkEnd w:id="0"/>
      <w:r>
        <w:t>方有权予以处罚。</w:t>
      </w:r>
    </w:p>
    <w:p w14:paraId="07DFDF64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材料计划：中标施工单位须根据施工进度提前提交物料计划，为甲方预留材料申购时间。</w:t>
      </w:r>
    </w:p>
    <w:p w14:paraId="7763C647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材料报审：由中标施工单位包料的，应提前报审品牌并按流程送检，品牌须满足业主或甲方要求。</w:t>
      </w:r>
    </w:p>
    <w:p w14:paraId="58F8917B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日常管理：中标施工单位须参加业主或甲方组织的安全会、早会等，每日提交施工计划，并随进度灵活调整人员，无条件配合业主或甲方的进度要求。</w:t>
      </w:r>
    </w:p>
    <w:p w14:paraId="6322D5DD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进场要求：施工人员进场前须满足业主相关规定（如体检、持证上岗等）。</w:t>
      </w:r>
    </w:p>
    <w:p w14:paraId="7B892F7C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人员离场：施工班组未经甲方允许不得擅自离场，否则甲方有权处罚。</w:t>
      </w:r>
    </w:p>
    <w:p w14:paraId="5D125B2C">
      <w:pPr>
        <w:pStyle w:val="11"/>
        <w:numPr>
          <w:ilvl w:val="0"/>
          <w:numId w:val="1"/>
        </w:numPr>
        <w:ind w:left="0" w:leftChars="0" w:firstLine="480" w:firstLineChars="0"/>
        <w:rPr>
          <w:b w:val="0"/>
        </w:rPr>
      </w:pPr>
      <w:r>
        <w:t>保险与计划：中标施工单位须为施工人员购买符合要求的保险，并于进场前提交施工计划。</w:t>
      </w:r>
    </w:p>
    <w:p w14:paraId="0F1779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4F5C7C8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185C4"/>
    <w:multiLevelType w:val="singleLevel"/>
    <w:tmpl w:val="102185C4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A2319"/>
    <w:rsid w:val="5A2E4ED1"/>
    <w:rsid w:val="683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semiHidden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430</Characters>
  <Lines>0</Lines>
  <Paragraphs>0</Paragraphs>
  <TotalTime>4</TotalTime>
  <ScaleCrop>false</ScaleCrop>
  <LinksUpToDate>false</LinksUpToDate>
  <CharactersWithSpaces>430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2025-11-10T00:45:00Z</dcterms:created>
  <dc:creator>Administrator</dc:creator>
  <cp:lastModifiedBy>几宁</cp:lastModifiedBy>
  <dcterms:modified xsi:type="dcterms:W3CDTF">2025-11-10T01:45:35Z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eyJoZGlkIjoiY2I5NDQxNTBiMDk3YjQ4NmFkNzBlZmU2NWUxNThmYzMiLCJ1c2VySWQiOiI1MTg3ODE5NDkifQ==</vt:lpwstr>
  </property>
  <property fmtid="{D5CDD505-2E9C-101B-9397-08002B2CF9AE}" pid="4" name="ICV">
    <vt:lpwstr>DAADA986628440F996AA54236C2A7F9C_13</vt:lpwstr>
  </property>
</Properties>
</file>